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4B" w:rsidRPr="005F274B" w:rsidRDefault="005F274B" w:rsidP="005F274B">
      <w:pPr>
        <w:spacing w:line="240" w:lineRule="exact"/>
        <w:ind w:left="485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274B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Главе администрации Каратузского  района</w:t>
      </w:r>
    </w:p>
    <w:p w:rsidR="005F274B" w:rsidRPr="005F274B" w:rsidRDefault="005F274B" w:rsidP="005F274B">
      <w:pPr>
        <w:spacing w:line="240" w:lineRule="exact"/>
        <w:ind w:left="485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274B" w:rsidRPr="005F274B" w:rsidRDefault="005F274B" w:rsidP="005F274B">
      <w:pPr>
        <w:spacing w:line="240" w:lineRule="exact"/>
        <w:ind w:left="485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274B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Главам сельсоветов (по списку)</w:t>
      </w:r>
    </w:p>
    <w:p w:rsidR="005F274B" w:rsidRPr="005F274B" w:rsidRDefault="005F274B" w:rsidP="005F274B">
      <w:pPr>
        <w:autoSpaceDE w:val="0"/>
        <w:autoSpaceDN w:val="0"/>
        <w:adjustRightInd w:val="0"/>
        <w:spacing w:line="240" w:lineRule="exact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274B" w:rsidRPr="005F274B" w:rsidRDefault="005F274B" w:rsidP="005F274B">
      <w:pPr>
        <w:autoSpaceDE w:val="0"/>
        <w:autoSpaceDN w:val="0"/>
        <w:adjustRightInd w:val="0"/>
        <w:spacing w:line="240" w:lineRule="exact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274B" w:rsidRPr="005F274B" w:rsidRDefault="005F274B" w:rsidP="005F274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274B" w:rsidRPr="005F274B" w:rsidRDefault="005F274B" w:rsidP="005F274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274B" w:rsidRPr="005F274B" w:rsidRDefault="005F274B" w:rsidP="005F274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274B" w:rsidRPr="005F274B" w:rsidRDefault="005F274B" w:rsidP="005F274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0F33" w:rsidRPr="005F274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27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Вас опубликовать на официальном сайте в сети «Интернет» следующую информацию.</w:t>
      </w:r>
    </w:p>
    <w:p w:rsidR="00E90F33" w:rsidRPr="005F274B" w:rsidRDefault="00E90F33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27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Вас опубликовать в газете и на официальном сайте газеты «Знамя труда» следующую информацию.</w:t>
      </w:r>
    </w:p>
    <w:p w:rsidR="006A1735" w:rsidRPr="00E90F33" w:rsidRDefault="00E45BCF" w:rsidP="005F2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7638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="00BC7638" w:rsidRPr="00BC7638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"http://www.consultant.ru/document/cons_doc_LAW_60/" </w:instrText>
      </w:r>
      <w:r w:rsidRPr="00BC7638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="006A1735"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>С 01.01.2019 года вступили в законную силу изменения и дополнения в Закон РФ "О занятости населения в Российской Федерации" от 19.04.1991 N 1032-1</w:t>
      </w:r>
      <w:r w:rsid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A1735"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– Закон).</w:t>
      </w:r>
    </w:p>
    <w:p w:rsidR="00BC7638" w:rsidRPr="00BC7638" w:rsidRDefault="006A1735" w:rsidP="005F2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Так, ст.34.2 Закона установлены дополнительные гарантии социальной поддержки граждан </w:t>
      </w:r>
      <w:proofErr w:type="spellStart"/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предпенсионного</w:t>
      </w:r>
      <w:proofErr w:type="spellEnd"/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возраста, а именно:</w:t>
      </w:r>
      <w:r w:rsidR="00E45BCF" w:rsidRPr="00BC7638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bookmarkStart w:id="0" w:name="dst648"/>
      <w:bookmarkStart w:id="1" w:name="dst649"/>
      <w:bookmarkEnd w:id="0"/>
      <w:bookmarkEnd w:id="1"/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="00BC7638"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ериод выплаты пособия по безработице гражданам </w:t>
      </w:r>
      <w:proofErr w:type="spellStart"/>
      <w:r w:rsidR="00BC7638"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предпенсионного</w:t>
      </w:r>
      <w:proofErr w:type="spellEnd"/>
      <w:r w:rsidR="00BC7638"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возраста, признанным в установленном порядке безработными, уволенным по любым основаниям в течение 12 месяцев, предшествовавших началу безработицы (за исключением граждан, стремящихся возобновить трудовую деятельность после длительного (более одного года) перерыва, граждан, уволенных за нарушение трудовой дисциплины или другие виновные</w:t>
      </w:r>
      <w:proofErr w:type="gramEnd"/>
      <w:r w:rsidR="00BC7638"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действия, предусмотренные законодательством Российской Федерации, а также граждан, направленных органами службы занятости на обучение и отчисленных за виновные действия), не может превышать 12 месяцев в суммарном исчислении в течение 18 месяцев.</w:t>
      </w:r>
    </w:p>
    <w:p w:rsidR="00BC7638" w:rsidRPr="00BC7638" w:rsidRDefault="00BC7638" w:rsidP="00E9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dst650"/>
      <w:bookmarkEnd w:id="2"/>
      <w:proofErr w:type="gramStart"/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Период выплаты пособия по безработице гражданам </w:t>
      </w:r>
      <w:proofErr w:type="spellStart"/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предпенсионного</w:t>
      </w:r>
      <w:proofErr w:type="spellEnd"/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возраста, указанным в </w:t>
      </w:r>
      <w:hyperlink r:id="rId4" w:anchor="dst649" w:history="1">
        <w:r w:rsidRPr="00E90F3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пункте 1</w:t>
        </w:r>
      </w:hyperlink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работ, дающие право на досрочное назначение страховой пенсии по старости в соответствии с Федеральным </w:t>
      </w:r>
      <w:hyperlink r:id="rId5" w:anchor="dst100403" w:history="1">
        <w:r w:rsidRPr="00E90F3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законом</w:t>
        </w:r>
      </w:hyperlink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28 декабря 2013</w:t>
      </w:r>
      <w:proofErr w:type="gramEnd"/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N 400-ФЗ "О страховых пенсиях", увеличивается сверх установленных 12 месяцев на две недели за каждый год работы, превышающий страховой стаж указанной продолжительности. При этом в страховой стаж включаются периоды работы и иной деятельности и засчитываются иные периоды, установленные </w:t>
      </w:r>
      <w:hyperlink r:id="rId6" w:anchor="dst100072" w:history="1">
        <w:r w:rsidRPr="00E90F3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статьями 11</w:t>
        </w:r>
      </w:hyperlink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7" w:anchor="dst100075" w:history="1">
        <w:r w:rsidRPr="00E90F3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12</w:t>
        </w:r>
      </w:hyperlink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указанного Федерального закона. Правила продления сроков выплаты пособия по безработице устанавливаются уполномоченным </w:t>
      </w:r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Правительством Российской Федерации федеральным органом исполнительной власти.</w:t>
      </w:r>
    </w:p>
    <w:p w:rsidR="00BC7638" w:rsidRPr="00BC7638" w:rsidRDefault="00BC7638" w:rsidP="00E9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" w:name="dst651"/>
      <w:bookmarkEnd w:id="3"/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Период выплаты пособия по безработице указанным гражданам не может превышать 24 месяца в суммарном исчислении в течение 36 месяцев.</w:t>
      </w:r>
    </w:p>
    <w:p w:rsidR="00BC7638" w:rsidRPr="00BC7638" w:rsidRDefault="00BC7638" w:rsidP="00E9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" w:name="dst652"/>
      <w:bookmarkEnd w:id="4"/>
      <w:proofErr w:type="gramStart"/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Гражданам </w:t>
      </w:r>
      <w:proofErr w:type="spellStart"/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предпенсионного</w:t>
      </w:r>
      <w:proofErr w:type="spellEnd"/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возраста, указанным в </w:t>
      </w:r>
      <w:hyperlink r:id="rId8" w:anchor="dst649" w:history="1">
        <w:r w:rsidRPr="00E90F3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пунктах 1</w:t>
        </w:r>
      </w:hyperlink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9" w:anchor="dst650" w:history="1">
        <w:r w:rsidRPr="00E90F3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</w:t>
        </w:r>
      </w:hyperlink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состоявшим в период, предшествующий началу безработицы, в трудовых (служебных) отношениях не менее 26 недель, пособие по безработице начисляется в первые три месяца в размере 75 процентов их среднемесячного заработка (денежного содержания, довольствия), исчисленного за последние три месяца по последнему месту работы (службы), в следующие четыре месяца - в размере 60</w:t>
      </w:r>
      <w:proofErr w:type="gramEnd"/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процентов такого заработка, в дальнейшем - в размере 45 процентов такого заработка. При этом размер пособия по безработице указанным гражданам не может быть выше максимальной величины пособия по безработице и ниже </w:t>
      </w:r>
      <w:hyperlink r:id="rId10" w:anchor="dst0" w:history="1">
        <w:r w:rsidRPr="00E90F3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минимальной величины</w:t>
        </w:r>
      </w:hyperlink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пособия по безработице, </w:t>
      </w:r>
      <w:proofErr w:type="gramStart"/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определенных</w:t>
      </w:r>
      <w:proofErr w:type="gramEnd"/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</w:t>
      </w:r>
      <w:hyperlink r:id="rId11" w:anchor="dst654" w:history="1">
        <w:r w:rsidRPr="00E90F3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пунктом 5</w:t>
        </w:r>
      </w:hyperlink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увеличенных на размер </w:t>
      </w:r>
      <w:hyperlink r:id="rId12" w:anchor="dst0" w:history="1">
        <w:r w:rsidRPr="00E90F3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районного коэффициента</w:t>
        </w:r>
      </w:hyperlink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90F33" w:rsidRPr="00E90F33" w:rsidRDefault="00BC7638" w:rsidP="00E90F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5" w:name="dst653"/>
      <w:bookmarkEnd w:id="5"/>
      <w:proofErr w:type="gramStart"/>
      <w:r w:rsidRPr="00E90F33">
        <w:rPr>
          <w:rFonts w:ascii="Times New Roman" w:hAnsi="Times New Roman" w:cs="Times New Roman"/>
          <w:sz w:val="27"/>
          <w:szCs w:val="27"/>
        </w:rPr>
        <w:t xml:space="preserve">Гражданам </w:t>
      </w:r>
      <w:proofErr w:type="spellStart"/>
      <w:r w:rsidRPr="00E90F33">
        <w:rPr>
          <w:rFonts w:ascii="Times New Roman" w:hAnsi="Times New Roman" w:cs="Times New Roman"/>
          <w:sz w:val="27"/>
          <w:szCs w:val="27"/>
        </w:rPr>
        <w:t>предпенсионного</w:t>
      </w:r>
      <w:proofErr w:type="spellEnd"/>
      <w:r w:rsidRPr="00E90F33">
        <w:rPr>
          <w:rFonts w:ascii="Times New Roman" w:hAnsi="Times New Roman" w:cs="Times New Roman"/>
          <w:sz w:val="27"/>
          <w:szCs w:val="27"/>
        </w:rPr>
        <w:t xml:space="preserve"> возраста, указанным в </w:t>
      </w:r>
      <w:hyperlink r:id="rId13" w:anchor="dst649" w:history="1">
        <w:r w:rsidRPr="00E90F33"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пунктах 1</w:t>
        </w:r>
      </w:hyperlink>
      <w:r w:rsidRPr="00E90F33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4" w:anchor="dst650" w:history="1">
        <w:r w:rsidRPr="00E90F33"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2</w:t>
        </w:r>
      </w:hyperlink>
      <w:r w:rsidRPr="00E90F33">
        <w:rPr>
          <w:rFonts w:ascii="Times New Roman" w:hAnsi="Times New Roman" w:cs="Times New Roman"/>
          <w:sz w:val="27"/>
          <w:szCs w:val="27"/>
        </w:rPr>
        <w:t xml:space="preserve"> настоящей статьи, состоявшим в период, предшествующий началу безработицы, в трудовых (служебных) отношениях менее 26 недель, пособие по безработице начисляется в размере </w:t>
      </w:r>
      <w:hyperlink r:id="rId15" w:anchor="dst0" w:history="1">
        <w:r w:rsidRPr="00E90F33"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минимальной величины</w:t>
        </w:r>
      </w:hyperlink>
      <w:r w:rsidRPr="00E90F33">
        <w:rPr>
          <w:rFonts w:ascii="Times New Roman" w:hAnsi="Times New Roman" w:cs="Times New Roman"/>
          <w:sz w:val="27"/>
          <w:szCs w:val="27"/>
        </w:rPr>
        <w:t xml:space="preserve"> пособия по безработице, </w:t>
      </w:r>
      <w:bookmarkStart w:id="6" w:name="dst654"/>
      <w:bookmarkEnd w:id="6"/>
      <w:r w:rsidR="00E90F33" w:rsidRPr="00E90F33">
        <w:rPr>
          <w:rFonts w:ascii="Times New Roman" w:hAnsi="Times New Roman" w:cs="Times New Roman"/>
          <w:sz w:val="27"/>
          <w:szCs w:val="27"/>
        </w:rPr>
        <w:t>в</w:t>
      </w:r>
      <w:r w:rsidR="00E90F33" w:rsidRPr="00E90F33">
        <w:rPr>
          <w:rFonts w:ascii="Times New Roman" w:hAnsi="Times New Roman" w:cs="Times New Roman"/>
        </w:rPr>
        <w:t xml:space="preserve"> 2019 году она составляет 1 500 руб. (</w:t>
      </w:r>
      <w:hyperlink r:id="rId16" w:history="1">
        <w:r w:rsidR="00E90F33" w:rsidRPr="00E90F33">
          <w:rPr>
            <w:rFonts w:ascii="Times New Roman" w:hAnsi="Times New Roman" w:cs="Times New Roman"/>
            <w:color w:val="0000FF"/>
          </w:rPr>
          <w:t>п. п. 4</w:t>
        </w:r>
      </w:hyperlink>
      <w:r w:rsidR="00E90F33" w:rsidRPr="00E90F33">
        <w:rPr>
          <w:rFonts w:ascii="Times New Roman" w:hAnsi="Times New Roman" w:cs="Times New Roman"/>
        </w:rPr>
        <w:t xml:space="preserve">, </w:t>
      </w:r>
      <w:hyperlink r:id="rId17" w:history="1">
        <w:r w:rsidR="00E90F33" w:rsidRPr="00E90F33">
          <w:rPr>
            <w:rFonts w:ascii="Times New Roman" w:hAnsi="Times New Roman" w:cs="Times New Roman"/>
            <w:color w:val="0000FF"/>
          </w:rPr>
          <w:t>5 ст. 34.2</w:t>
        </w:r>
      </w:hyperlink>
      <w:r w:rsidR="00E90F33" w:rsidRPr="00E90F33">
        <w:rPr>
          <w:rFonts w:ascii="Times New Roman" w:hAnsi="Times New Roman" w:cs="Times New Roman"/>
        </w:rPr>
        <w:t xml:space="preserve"> Закона N 1032-1;</w:t>
      </w:r>
      <w:proofErr w:type="gramEnd"/>
      <w:r w:rsidR="00E90F33" w:rsidRPr="00E90F33">
        <w:rPr>
          <w:rFonts w:ascii="Times New Roman" w:hAnsi="Times New Roman" w:cs="Times New Roman"/>
        </w:rPr>
        <w:t xml:space="preserve"> </w:t>
      </w:r>
      <w:hyperlink r:id="rId18" w:history="1">
        <w:r w:rsidR="00E90F33" w:rsidRPr="00E90F33">
          <w:rPr>
            <w:rFonts w:ascii="Times New Roman" w:hAnsi="Times New Roman" w:cs="Times New Roman"/>
            <w:color w:val="0000FF"/>
          </w:rPr>
          <w:t>п. 1</w:t>
        </w:r>
      </w:hyperlink>
      <w:r w:rsidR="00E90F33" w:rsidRPr="00E90F33">
        <w:rPr>
          <w:rFonts w:ascii="Times New Roman" w:hAnsi="Times New Roman" w:cs="Times New Roman"/>
        </w:rPr>
        <w:t xml:space="preserve"> Постановления N 1375).</w:t>
      </w:r>
    </w:p>
    <w:p w:rsidR="00BC7638" w:rsidRDefault="00BC7638" w:rsidP="00E9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F3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90F33" w:rsidRPr="00BC7638" w:rsidRDefault="00E90F33" w:rsidP="00E9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0F33" w:rsidRPr="00E90F33" w:rsidRDefault="00E90F33" w:rsidP="00E90F33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90F33">
        <w:rPr>
          <w:rFonts w:ascii="Times New Roman" w:hAnsi="Times New Roman" w:cs="Times New Roman"/>
          <w:sz w:val="27"/>
          <w:szCs w:val="27"/>
        </w:rPr>
        <w:t>Прокурор района</w:t>
      </w:r>
    </w:p>
    <w:p w:rsidR="00E90F33" w:rsidRPr="00E90F33" w:rsidRDefault="00E90F33" w:rsidP="00E90F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Pr="00E90F33" w:rsidRDefault="00E90F33" w:rsidP="00E90F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90F33">
        <w:rPr>
          <w:rFonts w:ascii="Times New Roman" w:hAnsi="Times New Roman" w:cs="Times New Roman"/>
          <w:sz w:val="27"/>
          <w:szCs w:val="27"/>
        </w:rPr>
        <w:t>советник юстиции</w:t>
      </w:r>
      <w:r w:rsidRPr="00E90F33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E90F33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E90F33">
        <w:rPr>
          <w:rFonts w:ascii="Times New Roman" w:hAnsi="Times New Roman" w:cs="Times New Roman"/>
          <w:sz w:val="27"/>
          <w:szCs w:val="27"/>
        </w:rPr>
        <w:tab/>
      </w:r>
      <w:r w:rsidRPr="00E90F33">
        <w:rPr>
          <w:rFonts w:ascii="Times New Roman" w:hAnsi="Times New Roman" w:cs="Times New Roman"/>
          <w:sz w:val="27"/>
          <w:szCs w:val="27"/>
        </w:rPr>
        <w:tab/>
        <w:t xml:space="preserve">                    </w:t>
      </w:r>
      <w:r w:rsidR="005F274B">
        <w:rPr>
          <w:rFonts w:ascii="Times New Roman" w:hAnsi="Times New Roman" w:cs="Times New Roman"/>
          <w:sz w:val="27"/>
          <w:szCs w:val="27"/>
        </w:rPr>
        <w:t xml:space="preserve">     </w:t>
      </w:r>
      <w:r w:rsidRPr="00E90F33">
        <w:rPr>
          <w:rFonts w:ascii="Times New Roman" w:hAnsi="Times New Roman" w:cs="Times New Roman"/>
          <w:sz w:val="27"/>
          <w:szCs w:val="27"/>
        </w:rPr>
        <w:t xml:space="preserve">                   С.В. Шестаков</w:t>
      </w:r>
    </w:p>
    <w:p w:rsidR="00E90F33" w:rsidRP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P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P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P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P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90F33" w:rsidRPr="00E90F33" w:rsidRDefault="00E90F33" w:rsidP="00E9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B90156" w:rsidRPr="00E90F33" w:rsidRDefault="00E90F33" w:rsidP="00E90F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90F33">
        <w:rPr>
          <w:rFonts w:ascii="Times New Roman" w:hAnsi="Times New Roman" w:cs="Times New Roman"/>
          <w:sz w:val="20"/>
          <w:szCs w:val="20"/>
        </w:rPr>
        <w:t xml:space="preserve">К.Р. </w:t>
      </w:r>
      <w:proofErr w:type="spellStart"/>
      <w:r w:rsidRPr="00E90F33">
        <w:rPr>
          <w:rFonts w:ascii="Times New Roman" w:hAnsi="Times New Roman" w:cs="Times New Roman"/>
          <w:sz w:val="20"/>
          <w:szCs w:val="20"/>
        </w:rPr>
        <w:t>Рейнварт</w:t>
      </w:r>
      <w:proofErr w:type="spellEnd"/>
      <w:r w:rsidRPr="00E90F33">
        <w:rPr>
          <w:rFonts w:ascii="Times New Roman" w:hAnsi="Times New Roman" w:cs="Times New Roman"/>
          <w:sz w:val="20"/>
          <w:szCs w:val="20"/>
        </w:rPr>
        <w:t>, тел. 2-13-49</w:t>
      </w:r>
    </w:p>
    <w:sectPr w:rsidR="00B90156" w:rsidRPr="00E90F33" w:rsidSect="006A17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638"/>
    <w:rsid w:val="002D2B4C"/>
    <w:rsid w:val="004C7524"/>
    <w:rsid w:val="005F274B"/>
    <w:rsid w:val="006A1735"/>
    <w:rsid w:val="00872AAF"/>
    <w:rsid w:val="00946CF6"/>
    <w:rsid w:val="009F35CC"/>
    <w:rsid w:val="00B90156"/>
    <w:rsid w:val="00BC7638"/>
    <w:rsid w:val="00E45BCF"/>
    <w:rsid w:val="00E9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56"/>
  </w:style>
  <w:style w:type="paragraph" w:styleId="1">
    <w:name w:val="heading 1"/>
    <w:basedOn w:val="a"/>
    <w:link w:val="10"/>
    <w:uiPriority w:val="9"/>
    <w:qFormat/>
    <w:rsid w:val="00BC7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7638"/>
    <w:rPr>
      <w:color w:val="0000FF"/>
      <w:u w:val="single"/>
    </w:rPr>
  </w:style>
  <w:style w:type="character" w:customStyle="1" w:styleId="blk">
    <w:name w:val="blk"/>
    <w:basedOn w:val="a0"/>
    <w:rsid w:val="00BC7638"/>
  </w:style>
  <w:style w:type="character" w:customStyle="1" w:styleId="hl">
    <w:name w:val="hl"/>
    <w:basedOn w:val="a0"/>
    <w:rsid w:val="00BC7638"/>
  </w:style>
  <w:style w:type="character" w:customStyle="1" w:styleId="nobr">
    <w:name w:val="nobr"/>
    <w:basedOn w:val="a0"/>
    <w:rsid w:val="00BC7638"/>
  </w:style>
  <w:style w:type="paragraph" w:customStyle="1" w:styleId="ConsPlusNormal">
    <w:name w:val="ConsPlusNormal"/>
    <w:rsid w:val="00E90F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0855/217b628db1be6d29295e946c651a66637c3c5617/" TargetMode="External"/><Relationship Id="rId13" Type="http://schemas.openxmlformats.org/officeDocument/2006/relationships/hyperlink" Target="http://www.consultant.ru/document/cons_doc_LAW_300855/217b628db1be6d29295e946c651a66637c3c5617/" TargetMode="External"/><Relationship Id="rId18" Type="http://schemas.openxmlformats.org/officeDocument/2006/relationships/hyperlink" Target="consultantplus://offline/ref=C916D1C6800D9EB39807BA07B7AD0828ADF59FBF6DC0C6FA7108ACF2E8C5417D63EE8414E34DB0F53B3AA733893A973C2BFD571A2FD5AAB5M5V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9700/a5de3504fb08c8198d1efc1dbf74e37353de8afd/" TargetMode="External"/><Relationship Id="rId12" Type="http://schemas.openxmlformats.org/officeDocument/2006/relationships/hyperlink" Target="http://www.consultant.ru/document/cons_doc_LAW_118861/" TargetMode="External"/><Relationship Id="rId17" Type="http://schemas.openxmlformats.org/officeDocument/2006/relationships/hyperlink" Target="consultantplus://offline/ref=C916D1C6800D9EB39807BA07B7AD0828ADF49EB46FC0C6FA7108ACF2E8C5417D63EE8413E649BBA16D75A66FCC6A843D29FD551D30MDVE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16D1C6800D9EB39807BA07B7AD0828ADF49EB46FC0C6FA7108ACF2E8C5417D63EE8413E64EBBA16D75A66FCC6A843D29FD551D30MDVE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9700/36c3a7ca5e8650c5a5bbf8dbdb7c3a464c034b23/" TargetMode="External"/><Relationship Id="rId11" Type="http://schemas.openxmlformats.org/officeDocument/2006/relationships/hyperlink" Target="http://www.consultant.ru/document/cons_doc_LAW_300855/217b628db1be6d29295e946c651a66637c3c5617/" TargetMode="External"/><Relationship Id="rId5" Type="http://schemas.openxmlformats.org/officeDocument/2006/relationships/hyperlink" Target="http://www.consultant.ru/document/cons_doc_LAW_319700/f663a5b24001526e74be67ac795010db56c5b62a/" TargetMode="External"/><Relationship Id="rId15" Type="http://schemas.openxmlformats.org/officeDocument/2006/relationships/hyperlink" Target="http://www.consultant.ru/document/cons_doc_LAW_115258/" TargetMode="External"/><Relationship Id="rId10" Type="http://schemas.openxmlformats.org/officeDocument/2006/relationships/hyperlink" Target="http://www.consultant.ru/document/cons_doc_LAW_115258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/document/cons_doc_LAW_300855/217b628db1be6d29295e946c651a66637c3c5617/" TargetMode="External"/><Relationship Id="rId9" Type="http://schemas.openxmlformats.org/officeDocument/2006/relationships/hyperlink" Target="http://www.consultant.ru/document/cons_doc_LAW_300855/217b628db1be6d29295e946c651a66637c3c5617/" TargetMode="External"/><Relationship Id="rId14" Type="http://schemas.openxmlformats.org/officeDocument/2006/relationships/hyperlink" Target="http://www.consultant.ru/document/cons_doc_LAW_300855/217b628db1be6d29295e946c651a66637c3c56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2019-07-15T04:01:00Z</cp:lastPrinted>
  <dcterms:created xsi:type="dcterms:W3CDTF">2019-07-15T03:20:00Z</dcterms:created>
  <dcterms:modified xsi:type="dcterms:W3CDTF">2019-07-15T05:04:00Z</dcterms:modified>
</cp:coreProperties>
</file>